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黑体" w:eastAsia="黑体" w:cs="仿宋_GB2312"/>
          <w:sz w:val="32"/>
          <w:szCs w:val="32"/>
        </w:rPr>
        <w:t>附件</w:t>
      </w:r>
      <w:r>
        <w:rPr>
          <w:rFonts w:hint="eastAsia" w:ascii="Times New Roman" w:hAnsi="Times New Roman" w:eastAsia="黑体" w:cs="仿宋_GB2312"/>
          <w:sz w:val="32"/>
          <w:szCs w:val="32"/>
        </w:rPr>
        <w:t>2</w:t>
      </w:r>
    </w:p>
    <w:p>
      <w:pPr>
        <w:pStyle w:val="15"/>
        <w:spacing w:line="600" w:lineRule="exact"/>
        <w:jc w:val="both"/>
      </w:pPr>
    </w:p>
    <w:p>
      <w:pPr>
        <w:pStyle w:val="15"/>
        <w:spacing w:line="600" w:lineRule="exact"/>
        <w:rPr>
          <w:rFonts w:ascii="华文中宋" w:hAnsi="华文中宋" w:eastAsia="华文中宋" w:cs="方正小标宋简体"/>
          <w:b/>
          <w:szCs w:val="36"/>
        </w:rPr>
      </w:pPr>
      <w:r>
        <w:rPr>
          <w:rFonts w:hint="eastAsia" w:ascii="华文中宋" w:hAnsi="华文中宋" w:eastAsia="华文中宋" w:cs="方正小标宋简体"/>
          <w:b/>
          <w:szCs w:val="36"/>
        </w:rPr>
        <w:t>规范权责事项 推动村居减负增效</w:t>
      </w:r>
    </w:p>
    <w:p>
      <w:pPr>
        <w:spacing w:line="600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 w:cs="仿宋_GB2312"/>
          <w:b/>
          <w:sz w:val="32"/>
          <w:szCs w:val="32"/>
        </w:rPr>
        <w:t>福建省厦门市海沧区</w:t>
      </w:r>
    </w:p>
    <w:p>
      <w:pPr>
        <w:spacing w:line="600" w:lineRule="exact"/>
        <w:ind w:firstLine="640" w:firstLineChars="200"/>
        <w:rPr>
          <w:rFonts w:ascii="黑体" w:eastAsia="黑体"/>
          <w:bCs/>
          <w:sz w:val="32"/>
          <w:szCs w:val="32"/>
        </w:rPr>
      </w:pPr>
    </w:p>
    <w:p>
      <w:pPr>
        <w:pStyle w:val="16"/>
        <w:widowControl w:val="0"/>
        <w:spacing w:line="580" w:lineRule="exact"/>
        <w:ind w:firstLine="640"/>
      </w:pPr>
      <w:r>
        <w:rPr>
          <w:rFonts w:hint="eastAsia"/>
        </w:rPr>
        <w:t>厦门市海沧区</w:t>
      </w:r>
      <w:r>
        <w:t>针对</w:t>
      </w:r>
      <w:r>
        <w:rPr>
          <w:rFonts w:hint="eastAsia"/>
        </w:rPr>
        <w:t>村居职能交叉不清、村级组织承担的行政和社会管理事务繁重、自治作用发挥不充分、队伍结构不合理等</w:t>
      </w:r>
      <w:r>
        <w:t>问题，</w:t>
      </w:r>
      <w:r>
        <w:rPr>
          <w:rFonts w:hint="eastAsia"/>
        </w:rPr>
        <w:t>坚持源头治理</w:t>
      </w:r>
      <w:r>
        <w:t>、</w:t>
      </w:r>
      <w:r>
        <w:rPr>
          <w:rFonts w:hint="eastAsia"/>
        </w:rPr>
        <w:t>多管齐下和</w:t>
      </w:r>
      <w:r>
        <w:t>改革创新，着力规范权责事项，</w:t>
      </w:r>
      <w:r>
        <w:rPr>
          <w:rFonts w:hint="eastAsia"/>
        </w:rPr>
        <w:t>融合多元力量帮助村居减负增效，健全机制保障减负不反弹，让村居干部回归主责主业、为民服务</w:t>
      </w:r>
      <w:r>
        <w:t>。</w:t>
      </w:r>
    </w:p>
    <w:p>
      <w:pPr>
        <w:pStyle w:val="17"/>
        <w:widowControl w:val="0"/>
        <w:spacing w:line="580" w:lineRule="exact"/>
        <w:ind w:left="0" w:firstLine="640" w:firstLineChars="200"/>
      </w:pPr>
      <w:r>
        <w:rPr>
          <w:rFonts w:hint="eastAsia"/>
        </w:rPr>
        <w:t>一、坚持源头治理，规范清单为村居松绑减负</w:t>
      </w:r>
    </w:p>
    <w:p>
      <w:pPr>
        <w:pStyle w:val="16"/>
        <w:widowControl w:val="0"/>
        <w:spacing w:line="580" w:lineRule="exact"/>
        <w:ind w:firstLine="643"/>
      </w:pPr>
      <w:r>
        <w:rPr>
          <w:rFonts w:hint="eastAsia" w:eastAsia="楷体_GB2312" w:cs="楷体_GB2312"/>
          <w:b/>
          <w:szCs w:val="32"/>
        </w:rPr>
        <w:t>一是“1份铁规”收紧下放路子。</w:t>
      </w:r>
      <w:r>
        <w:rPr>
          <w:rFonts w:hint="eastAsia"/>
        </w:rPr>
        <w:t>按照严格准入、依法进入、事费配套、注重时效的原则，严格执行村居工作事项准入制度，梳理清单事项，落实“法定职责必须为、法无授权不可为”。未经区委、区政府研究同意下放的工作事项，不得下放至村居工作站，确需下放的工作事项，要执行“权随责走，费随事转”，落实相应人员及工作经费保障。擅自向村居委托或转移工作的，按照规定严肃问责。</w:t>
      </w:r>
    </w:p>
    <w:p>
      <w:pPr>
        <w:pStyle w:val="16"/>
        <w:widowControl w:val="0"/>
        <w:spacing w:line="580" w:lineRule="exact"/>
        <w:ind w:firstLine="643"/>
      </w:pPr>
      <w:r>
        <w:rPr>
          <w:rFonts w:hint="eastAsia" w:eastAsia="楷体_GB2312" w:cs="楷体_GB2312"/>
          <w:b/>
        </w:rPr>
        <w:t>二是“</w:t>
      </w:r>
      <w:r>
        <w:rPr>
          <w:rFonts w:eastAsia="楷体_GB2312" w:cs="楷体_GB2312"/>
          <w:b/>
        </w:rPr>
        <w:t>6张清单”</w:t>
      </w:r>
      <w:r>
        <w:rPr>
          <w:rFonts w:hint="eastAsia" w:eastAsia="楷体_GB2312" w:cs="楷体_GB2312"/>
          <w:b/>
        </w:rPr>
        <w:t>厘清权责边界。</w:t>
      </w:r>
      <w:r>
        <w:t>2016</w:t>
      </w:r>
      <w:r>
        <w:rPr>
          <w:rFonts w:hint="eastAsia"/>
        </w:rPr>
        <w:t>年海沧区制定了村居有关权责事项6张清单，分别是依法履行职责、依法协助基层政府工作、依法依规组织开展监督活动、建立的台账报表、开展的检查评比达标活动和保留证明清单，包括清单事项165项。结合机构改革，27个部门逐条梳理6张清单，逐一审核清单事项的合法性和政策依据。2020年，修订出台《海沧区村（居）民委员会有关职责事项一览表》，总事项减至119项，减少27.88%。其中，依法履行职责事项从38项减为24项，依法协助基层政府工作事项从61项减为55项，依法依规组织开展监督活动事项从11项减为10项，台账报表事项从27项减为21项，评比达标活动从8项减为7项，保留证明事项从20项减为2项。</w:t>
      </w:r>
    </w:p>
    <w:p>
      <w:pPr>
        <w:pStyle w:val="16"/>
        <w:widowControl w:val="0"/>
        <w:spacing w:line="580" w:lineRule="exact"/>
        <w:ind w:firstLine="643"/>
      </w:pPr>
      <w:r>
        <w:rPr>
          <w:rFonts w:hint="eastAsia" w:eastAsia="楷体_GB2312" w:cs="楷体_GB2312"/>
          <w:b/>
          <w:szCs w:val="32"/>
        </w:rPr>
        <w:t>三是“25项小微权力”规范权力运行。</w:t>
      </w:r>
      <w:r>
        <w:rPr>
          <w:rFonts w:hint="eastAsia"/>
        </w:rPr>
        <w:t>出台《关于规范村级“小微权力”的通知》，按照“于法周全、于事简便”原则，围绕村级组织在组织建设、经济管理等6个方面制定村级“小微权力”清单，共梳理出25项事项。细化各清单事项的用权程序，绘制“四议两公开”、财务开支、发展党员、投资建设项目、出租出让集体资产、印章管理等运行流程图，确保村级权力事项运行按程序决策、按流程办事、按时限落实、按规范落地。</w:t>
      </w:r>
    </w:p>
    <w:p>
      <w:pPr>
        <w:pStyle w:val="17"/>
        <w:widowControl w:val="0"/>
        <w:spacing w:line="580" w:lineRule="exact"/>
        <w:ind w:left="0" w:firstLine="640" w:firstLineChars="200"/>
        <w:outlineLvl w:val="9"/>
      </w:pPr>
      <w:r>
        <w:t>二、坚持多管齐下，健全机制为村居减负护航</w:t>
      </w:r>
    </w:p>
    <w:p>
      <w:pPr>
        <w:pStyle w:val="16"/>
        <w:widowControl w:val="0"/>
        <w:spacing w:line="580" w:lineRule="exact"/>
        <w:ind w:firstLine="643"/>
      </w:pPr>
      <w:r>
        <w:rPr>
          <w:rFonts w:hint="eastAsia" w:eastAsia="楷体_GB2312" w:cs="楷体_GB2312"/>
          <w:b/>
          <w:szCs w:val="32"/>
        </w:rPr>
        <w:t>一是建立村居绩效考核机制。</w:t>
      </w:r>
      <w:r>
        <w:rPr>
          <w:rFonts w:hint="eastAsia"/>
        </w:rPr>
        <w:t>制定实施《海沧区村（居）绩效考核评价办法》，每年</w:t>
      </w:r>
      <w:r>
        <w:rPr>
          <w:rFonts w:hint="eastAsia" w:hAnsi="仿宋_GB2312" w:cs="仿宋_GB2312"/>
        </w:rPr>
        <w:t>根据全区中心工作和重点任务</w:t>
      </w:r>
      <w:r>
        <w:rPr>
          <w:rFonts w:hint="eastAsia"/>
        </w:rPr>
        <w:t>确定考核指标，按照“统一等级、统一结构、统一项目、规范标准”的方向，对村（居）职责事项年度落实情况进行绩效考评。</w:t>
      </w:r>
      <w:r>
        <w:rPr>
          <w:rFonts w:hint="eastAsia" w:hAnsi="仿宋_GB2312" w:cs="仿宋_GB2312"/>
        </w:rPr>
        <w:t>排名为前</w:t>
      </w:r>
      <w:r>
        <w:rPr>
          <w:rFonts w:hint="eastAsia" w:cs="仿宋_GB2312"/>
        </w:rPr>
        <w:t>25%</w:t>
      </w:r>
      <w:r>
        <w:rPr>
          <w:rFonts w:hint="eastAsia" w:hAnsi="仿宋_GB2312" w:cs="仿宋_GB2312"/>
        </w:rPr>
        <w:t>的村（居）工作者</w:t>
      </w:r>
      <w:r>
        <w:rPr>
          <w:rFonts w:hint="eastAsia"/>
        </w:rPr>
        <w:t>给予</w:t>
      </w:r>
      <w:r>
        <w:rPr>
          <w:rFonts w:hint="eastAsia" w:hAnsi="仿宋_GB2312" w:cs="仿宋_GB2312"/>
        </w:rPr>
        <w:t>应发月工资</w:t>
      </w:r>
      <w:r>
        <w:rPr>
          <w:rFonts w:hint="eastAsia" w:cs="仿宋_GB2312"/>
        </w:rPr>
        <w:t>2.5</w:t>
      </w:r>
      <w:r>
        <w:rPr>
          <w:rFonts w:hint="eastAsia" w:hAnsi="仿宋_GB2312" w:cs="仿宋_GB2312"/>
        </w:rPr>
        <w:t>倍的</w:t>
      </w:r>
      <w:r>
        <w:rPr>
          <w:rFonts w:hint="eastAsia"/>
        </w:rPr>
        <w:t>绩效奖励，</w:t>
      </w:r>
      <w:r>
        <w:rPr>
          <w:rFonts w:hint="eastAsia" w:hAnsi="仿宋_GB2312" w:cs="仿宋_GB2312"/>
        </w:rPr>
        <w:t>排名为后</w:t>
      </w:r>
      <w:r>
        <w:rPr>
          <w:rFonts w:hint="eastAsia" w:cs="仿宋_GB2312"/>
        </w:rPr>
        <w:t>10%</w:t>
      </w:r>
      <w:r>
        <w:rPr>
          <w:rFonts w:hint="eastAsia" w:hAnsi="仿宋_GB2312" w:cs="仿宋_GB2312"/>
        </w:rPr>
        <w:t>的村（居）相应缩减奖励并</w:t>
      </w:r>
      <w:r>
        <w:rPr>
          <w:rFonts w:hint="eastAsia" w:hAnsi="仿宋_GB2312" w:cs="仿宋_GB2312"/>
          <w:szCs w:val="32"/>
        </w:rPr>
        <w:t>通报。</w:t>
      </w:r>
      <w:r>
        <w:rPr>
          <w:rFonts w:hint="eastAsia"/>
        </w:rPr>
        <w:t>确保清单工作刚性严肃、精准落实，引导村居聚焦主责主业，同时也实现清单动态化监督，防止事务反弹、责任甩锅等现象。</w:t>
      </w:r>
    </w:p>
    <w:p>
      <w:pPr>
        <w:pStyle w:val="16"/>
        <w:widowControl w:val="0"/>
        <w:spacing w:line="580" w:lineRule="exact"/>
        <w:ind w:firstLine="643"/>
      </w:pPr>
      <w:r>
        <w:rPr>
          <w:rFonts w:hint="eastAsia" w:eastAsia="楷体_GB2312" w:cs="楷体_GB2312"/>
          <w:b/>
          <w:szCs w:val="32"/>
        </w:rPr>
        <w:t>二是建立“1+X”监督机制。</w:t>
      </w:r>
      <w:r>
        <w:rPr>
          <w:rFonts w:hint="eastAsia"/>
        </w:rPr>
        <w:t>按照纪委监委专责监督和各部门职能监督的“</w:t>
      </w:r>
      <w:r>
        <w:t>1+X”</w:t>
      </w:r>
      <w:r>
        <w:rPr>
          <w:rFonts w:hint="eastAsia"/>
        </w:rPr>
        <w:t>监督机制，持续下沉纪检、组织、民政、审计等部门力量，推进清单落实审查和“微腐败”整治。实行清单内容、规章制度、运行程序、运行过程、运行结果“五公开”，健全村务监督委员会全程监督机制，畅通群众质询、答复渠道，构建有机统一的监督体系。</w:t>
      </w:r>
    </w:p>
    <w:p>
      <w:pPr>
        <w:pStyle w:val="16"/>
        <w:widowControl w:val="0"/>
        <w:spacing w:line="580" w:lineRule="exact"/>
        <w:ind w:firstLine="643"/>
      </w:pPr>
      <w:r>
        <w:rPr>
          <w:rFonts w:hint="eastAsia" w:eastAsia="楷体_GB2312" w:cs="楷体_GB2312"/>
          <w:b/>
          <w:szCs w:val="32"/>
        </w:rPr>
        <w:t>三是建立基层减负监测点。</w:t>
      </w:r>
      <w:r>
        <w:rPr>
          <w:rFonts w:hint="eastAsia"/>
        </w:rPr>
        <w:t>结合形式主义、官僚主义问题的查处工作，在基层设立减负监测点，对于监测中发现的一些可能增加基层负担问题，区纪委监委及时进行跟踪督办，督促整改，做到及时发现、动态处置、纠偏改进。新冠肺炎疫情防控期间，开展“表格战役”监督检查，督促有关职能部门整合同类表格，减少基层重复填报，对检查发现的问题线索进行核查处理。</w:t>
      </w:r>
    </w:p>
    <w:p>
      <w:pPr>
        <w:pStyle w:val="17"/>
        <w:widowControl w:val="0"/>
        <w:spacing w:line="580" w:lineRule="exact"/>
        <w:ind w:left="0" w:firstLine="640" w:firstLineChars="200"/>
        <w:outlineLvl w:val="9"/>
      </w:pPr>
      <w:r>
        <w:t>三、坚持改革创新，多元融合为村居扩能增效</w:t>
      </w:r>
    </w:p>
    <w:p>
      <w:pPr>
        <w:pStyle w:val="16"/>
        <w:widowControl w:val="0"/>
        <w:spacing w:line="580" w:lineRule="exact"/>
        <w:ind w:firstLine="643"/>
      </w:pPr>
      <w:r>
        <w:rPr>
          <w:rFonts w:hint="eastAsia" w:eastAsia="楷体_GB2312" w:cs="楷体_GB2312"/>
          <w:b/>
          <w:szCs w:val="32"/>
        </w:rPr>
        <w:t>一是完善“就近办，马上办”便民服务改革。</w:t>
      </w:r>
      <w:r>
        <w:rPr>
          <w:rFonts w:hint="eastAsia"/>
        </w:rPr>
        <w:t>持续完善机构下沉、人员下沉、服务下沉的“就近办，马上办”便民服务。推进“一站式”服务，将75项便民服务事项入驻43个村居便民服务站，做到“开一个窗，办全部事”；开通网上办理服务，全部实现“一趟不用跑”或“最多跑一趟”，即办率达57%，全流程网办事项占比38.7%，全区通办事项办理时限压缩至法定时限的19.5%，最大程度提升群众的获得感和满意度。实现网格化服务，聘用710名社区网格员下沉各村居，参与社区治理和服务，负责网格内信息收集、上报、协调处置等工作，把村（居）“两委”干部从繁重的行政服务事务中解脱出来，实现“专业人做专业事”与“社区人办社区事”的优化组合。</w:t>
      </w:r>
    </w:p>
    <w:p>
      <w:pPr>
        <w:pStyle w:val="16"/>
        <w:widowControl w:val="0"/>
        <w:spacing w:line="580" w:lineRule="exact"/>
        <w:ind w:firstLine="643"/>
        <w:rPr>
          <w:lang w:val="zh-CN"/>
        </w:rPr>
      </w:pPr>
      <w:r>
        <w:rPr>
          <w:rFonts w:hint="eastAsia" w:eastAsia="楷体_GB2312" w:cs="楷体_GB2312"/>
          <w:b/>
          <w:szCs w:val="32"/>
        </w:rPr>
        <w:t>二是创新“两岸融合”乡村治理模式。</w:t>
      </w:r>
      <w:r>
        <w:rPr>
          <w:rFonts w:hint="eastAsia"/>
        </w:rPr>
        <w:t>立足对台独特优势，聘请43名台湾青年担任社区营造员驻点村居工作，将台湾社区营造理念和大陆共建共治共享乡村治理机制有效融合，探索出“我们参与了，村庄就变了”返乡青年创业、“农村幸福食堂”等模式，有效解决了乡村治理中面临的“空心化”、关爱老人等难题。</w:t>
      </w:r>
    </w:p>
    <w:p>
      <w:pPr>
        <w:pStyle w:val="16"/>
        <w:widowControl w:val="0"/>
        <w:spacing w:line="580" w:lineRule="exact"/>
        <w:ind w:firstLine="643"/>
      </w:pPr>
      <w:r>
        <w:rPr>
          <w:rFonts w:hint="eastAsia" w:eastAsia="楷体_GB2312" w:cs="楷体_GB2312"/>
          <w:b/>
          <w:szCs w:val="32"/>
        </w:rPr>
        <w:t>三是探索“三社联动”项目服务模式。</w:t>
      </w:r>
      <w:r>
        <w:rPr>
          <w:rFonts w:hint="eastAsia"/>
        </w:rPr>
        <w:t>探索“村居+社会组织+社工”有效联动，依托社会组织孵化基地培育了301家社会组织，同时推进政府购买服务，引导社会组织尤其是民办社工机构以村居为平台，招聘社工帮助村居干部整合资源、实施专业服务，促进“社工+志愿者+村（居）民+N”积极互动。2020年来，全区累计购买服务项目130余个、近4000万元，在服务特殊、困难群体上发挥了重要作用，在提升村民自治能力、培育村民参与意识、化解村民矛盾、增进村居和谐等方面取得显著成效。</w:t>
      </w:r>
    </w:p>
    <w:p>
      <w:pPr>
        <w:pStyle w:val="16"/>
        <w:widowControl w:val="0"/>
        <w:spacing w:line="580" w:lineRule="exact"/>
        <w:ind w:firstLine="640"/>
        <w:rPr>
          <w:rFonts w:cs="仿宋_GB2312"/>
        </w:rPr>
      </w:pPr>
      <w:r>
        <w:rPr>
          <w:rFonts w:hint="eastAsia"/>
        </w:rPr>
        <w:t>海沧区坚持简政为民，通过制定权责事项清单和小微权力清单，规范了村级组织承担的行政事务、检查考核等事项，减少了台账报表的填报；通过整合资源，培育社会组织等力量，完善了村居工作体制机制，有效减轻了村（居）民委员会负担，助力村（居）干部轻装上阵，巩固了基层基础，激发了治理活力，进一步提高了乡村治理效能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TZhongsong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4859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48590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15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.7pt;width:5.3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dpXEdEAAAADAQAADwAAAAAAAAABACAAAAAiAAAAZHJzL2Rvd25y&#10;ZXYueG1sUEsBAhQAFAAAAAgAh07iQFDDw5MFAgAA/gMAAA4AAAAAAAAAAQAgAAAAIAEAAGRycy9l&#10;Mm9Eb2MueG1sUEsFBgAAAAAGAAYAWQEAAJcFAAAAAA==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15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9D"/>
    <w:rsid w:val="00097086"/>
    <w:rsid w:val="000A383A"/>
    <w:rsid w:val="000B1010"/>
    <w:rsid w:val="000B1D49"/>
    <w:rsid w:val="00101B22"/>
    <w:rsid w:val="0011112B"/>
    <w:rsid w:val="00155AD4"/>
    <w:rsid w:val="00156207"/>
    <w:rsid w:val="00194891"/>
    <w:rsid w:val="001A6AF8"/>
    <w:rsid w:val="001C780F"/>
    <w:rsid w:val="002109BE"/>
    <w:rsid w:val="00261872"/>
    <w:rsid w:val="0028639A"/>
    <w:rsid w:val="00294D63"/>
    <w:rsid w:val="00296A48"/>
    <w:rsid w:val="00351B76"/>
    <w:rsid w:val="003676EE"/>
    <w:rsid w:val="003E6004"/>
    <w:rsid w:val="003F2427"/>
    <w:rsid w:val="0040074F"/>
    <w:rsid w:val="0048527B"/>
    <w:rsid w:val="004A12A5"/>
    <w:rsid w:val="004D749D"/>
    <w:rsid w:val="0052049C"/>
    <w:rsid w:val="0059725A"/>
    <w:rsid w:val="005B76E4"/>
    <w:rsid w:val="005C0901"/>
    <w:rsid w:val="005E07EC"/>
    <w:rsid w:val="00605276"/>
    <w:rsid w:val="00644911"/>
    <w:rsid w:val="00697DED"/>
    <w:rsid w:val="007023DB"/>
    <w:rsid w:val="0071655C"/>
    <w:rsid w:val="0072495E"/>
    <w:rsid w:val="0075223E"/>
    <w:rsid w:val="00752DA6"/>
    <w:rsid w:val="007B0DF7"/>
    <w:rsid w:val="007B6560"/>
    <w:rsid w:val="007F59DC"/>
    <w:rsid w:val="00832EBD"/>
    <w:rsid w:val="0085092E"/>
    <w:rsid w:val="008553D8"/>
    <w:rsid w:val="00902762"/>
    <w:rsid w:val="00960C0A"/>
    <w:rsid w:val="0096545A"/>
    <w:rsid w:val="00975D84"/>
    <w:rsid w:val="009825E6"/>
    <w:rsid w:val="0098717A"/>
    <w:rsid w:val="00A25B4D"/>
    <w:rsid w:val="00A55F9E"/>
    <w:rsid w:val="00B12C1C"/>
    <w:rsid w:val="00B62471"/>
    <w:rsid w:val="00B67D41"/>
    <w:rsid w:val="00B94E05"/>
    <w:rsid w:val="00BD7B0C"/>
    <w:rsid w:val="00C10595"/>
    <w:rsid w:val="00C4151F"/>
    <w:rsid w:val="00CE4810"/>
    <w:rsid w:val="00CE77E8"/>
    <w:rsid w:val="00D5747A"/>
    <w:rsid w:val="00D607ED"/>
    <w:rsid w:val="00D81395"/>
    <w:rsid w:val="00DB1051"/>
    <w:rsid w:val="00DE7FCF"/>
    <w:rsid w:val="00E35576"/>
    <w:rsid w:val="00E7240D"/>
    <w:rsid w:val="00E82AAD"/>
    <w:rsid w:val="00ED39FD"/>
    <w:rsid w:val="00F50AE5"/>
    <w:rsid w:val="00FD5775"/>
    <w:rsid w:val="15FC6615"/>
    <w:rsid w:val="18C0485A"/>
    <w:rsid w:val="1D580C0D"/>
    <w:rsid w:val="3631023D"/>
    <w:rsid w:val="5C050673"/>
    <w:rsid w:val="5CED51F7"/>
    <w:rsid w:val="5E3E0987"/>
    <w:rsid w:val="73AA33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qFormat/>
    <w:uiPriority w:val="0"/>
  </w:style>
  <w:style w:type="character" w:styleId="12">
    <w:name w:val="Hyperlink"/>
    <w:basedOn w:val="9"/>
    <w:uiPriority w:val="0"/>
    <w:rPr>
      <w:color w:val="0000FF"/>
      <w:u w:val="single"/>
    </w:rPr>
  </w:style>
  <w:style w:type="character" w:styleId="13">
    <w:name w:val="annotation reference"/>
    <w:basedOn w:val="9"/>
    <w:qFormat/>
    <w:uiPriority w:val="0"/>
    <w:rPr>
      <w:sz w:val="21"/>
      <w:szCs w:val="21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szCs w:val="22"/>
      <w:lang w:val="en-US" w:eastAsia="zh-CN" w:bidi="ar-SA"/>
    </w:rPr>
  </w:style>
  <w:style w:type="paragraph" w:customStyle="1" w:styleId="15">
    <w:name w:val="标题-公文"/>
    <w:qFormat/>
    <w:uiPriority w:val="0"/>
    <w:pPr>
      <w:jc w:val="center"/>
      <w:outlineLvl w:val="0"/>
    </w:pPr>
    <w:rPr>
      <w:rFonts w:ascii="Times New Roman" w:hAnsi="Times New Roman" w:eastAsia="STZhongsong" w:cs="黑体"/>
      <w:kern w:val="2"/>
      <w:sz w:val="36"/>
      <w:szCs w:val="21"/>
      <w:lang w:val="en-US" w:eastAsia="zh-CN" w:bidi="ar-SA"/>
    </w:rPr>
  </w:style>
  <w:style w:type="paragraph" w:customStyle="1" w:styleId="16">
    <w:name w:val="正文-公文"/>
    <w:qFormat/>
    <w:uiPriority w:val="0"/>
    <w:pPr>
      <w:ind w:firstLine="200" w:firstLineChars="200"/>
      <w:jc w:val="both"/>
    </w:pPr>
    <w:rPr>
      <w:rFonts w:ascii="Times New Roman" w:hAnsi="Times New Roman" w:eastAsia="仿宋_GB2312" w:cs="黑体"/>
      <w:kern w:val="2"/>
      <w:sz w:val="32"/>
      <w:szCs w:val="21"/>
      <w:lang w:val="en-US" w:eastAsia="zh-CN" w:bidi="ar-SA"/>
    </w:rPr>
  </w:style>
  <w:style w:type="paragraph" w:customStyle="1" w:styleId="17">
    <w:name w:val="一级标题-公文"/>
    <w:qFormat/>
    <w:uiPriority w:val="0"/>
    <w:pPr>
      <w:ind w:left="640"/>
      <w:jc w:val="both"/>
      <w:outlineLvl w:val="0"/>
    </w:pPr>
    <w:rPr>
      <w:rFonts w:ascii="Times New Roman" w:hAnsi="Times New Roman" w:eastAsia="黑体" w:cs="黑体"/>
      <w:kern w:val="2"/>
      <w:sz w:val="32"/>
      <w:szCs w:val="21"/>
      <w:lang w:val="en-US" w:eastAsia="zh-CN" w:bidi="ar-SA"/>
    </w:rPr>
  </w:style>
  <w:style w:type="paragraph" w:customStyle="1" w:styleId="18">
    <w:name w:val="修订1"/>
    <w:qFormat/>
    <w:uiPriority w:val="0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农村农业局</Company>
  <Pages>4</Pages>
  <Words>338</Words>
  <Characters>1928</Characters>
  <Lines>16</Lines>
  <Paragraphs>4</Paragraphs>
  <TotalTime>871</TotalTime>
  <ScaleCrop>false</ScaleCrop>
  <LinksUpToDate>false</LinksUpToDate>
  <CharactersWithSpaces>2262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2021-08-10T02:26:00Z</dcterms:created>
  <dc:creator>DELL</dc:creator>
  <cp:lastModifiedBy>朱峰</cp:lastModifiedBy>
  <cp:lastPrinted>2021-08-27T07:19:00Z</cp:lastPrinted>
  <dcterms:modified xsi:type="dcterms:W3CDTF">2021-11-17T00:50:54Z</dcterms:modified>
  <dc:title>海沧区“聚四力”走好村居减负增效路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